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3491" w14:textId="77777777" w:rsidR="0066339B" w:rsidRPr="0066339B" w:rsidRDefault="0066339B" w:rsidP="0066339B">
      <w:pPr>
        <w:jc w:val="center"/>
        <w:rPr>
          <w:b/>
          <w:sz w:val="40"/>
          <w:szCs w:val="40"/>
          <w:highlight w:val="yellow"/>
        </w:rPr>
      </w:pPr>
      <w:r w:rsidRPr="0066339B">
        <w:rPr>
          <w:b/>
          <w:sz w:val="40"/>
          <w:szCs w:val="40"/>
          <w:highlight w:val="yellow"/>
        </w:rPr>
        <w:t xml:space="preserve">Proposal </w:t>
      </w:r>
    </w:p>
    <w:p w14:paraId="6EB68432" w14:textId="0394F353" w:rsidR="00352260" w:rsidRPr="0066339B" w:rsidRDefault="009F69ED" w:rsidP="0066339B">
      <w:pPr>
        <w:jc w:val="center"/>
        <w:rPr>
          <w:b/>
          <w:sz w:val="28"/>
          <w:szCs w:val="28"/>
          <w:highlight w:val="yellow"/>
        </w:rPr>
      </w:pPr>
      <w:r w:rsidRPr="0066339B">
        <w:rPr>
          <w:b/>
          <w:sz w:val="28"/>
          <w:szCs w:val="28"/>
          <w:highlight w:val="yellow"/>
        </w:rPr>
        <w:t xml:space="preserve">Special Issue </w:t>
      </w:r>
      <w:r w:rsidR="0066339B">
        <w:rPr>
          <w:b/>
          <w:sz w:val="28"/>
          <w:szCs w:val="28"/>
          <w:highlight w:val="yellow"/>
        </w:rPr>
        <w:t xml:space="preserve">of </w:t>
      </w:r>
      <w:r w:rsidRPr="0066339B">
        <w:rPr>
          <w:b/>
          <w:sz w:val="28"/>
          <w:szCs w:val="28"/>
          <w:highlight w:val="yellow"/>
        </w:rPr>
        <w:t>Neuroscience Research Notes (eISSN: 2576-828X)</w:t>
      </w:r>
    </w:p>
    <w:p w14:paraId="6AFA66D3" w14:textId="77777777" w:rsidR="00352260" w:rsidRPr="00F6518B" w:rsidRDefault="00121C53" w:rsidP="00121C53">
      <w:pPr>
        <w:tabs>
          <w:tab w:val="left" w:pos="5325"/>
        </w:tabs>
        <w:rPr>
          <w:sz w:val="24"/>
          <w:szCs w:val="24"/>
        </w:rPr>
      </w:pPr>
      <w:r w:rsidRPr="00F6518B">
        <w:rPr>
          <w:sz w:val="24"/>
          <w:szCs w:val="24"/>
        </w:rPr>
        <w:tab/>
      </w:r>
    </w:p>
    <w:p w14:paraId="56D7C86B" w14:textId="0DC5AEB1" w:rsidR="009F69ED" w:rsidRPr="00F6518B" w:rsidRDefault="0066339B" w:rsidP="00352260">
      <w:pPr>
        <w:rPr>
          <w:b/>
          <w:sz w:val="24"/>
          <w:szCs w:val="24"/>
        </w:rPr>
      </w:pPr>
      <w:r>
        <w:rPr>
          <w:b/>
          <w:sz w:val="24"/>
          <w:szCs w:val="24"/>
        </w:rPr>
        <w:t>Title</w:t>
      </w:r>
      <w:r w:rsidR="009F69ED" w:rsidRPr="00F6518B">
        <w:rPr>
          <w:b/>
          <w:sz w:val="24"/>
          <w:szCs w:val="24"/>
        </w:rPr>
        <w:t xml:space="preserve">: </w:t>
      </w:r>
      <w:r w:rsidR="00121C53" w:rsidRPr="00F6518B">
        <w:rPr>
          <w:b/>
          <w:sz w:val="24"/>
          <w:szCs w:val="24"/>
        </w:rPr>
        <w:t>Neural Plasticity and Neurogenesis in Intellectual D</w:t>
      </w:r>
      <w:r w:rsidR="00352260" w:rsidRPr="00F6518B">
        <w:rPr>
          <w:b/>
          <w:sz w:val="24"/>
          <w:szCs w:val="24"/>
        </w:rPr>
        <w:t>isability</w:t>
      </w:r>
      <w:r w:rsidR="00F6518B" w:rsidRPr="00F6518B">
        <w:rPr>
          <w:b/>
          <w:sz w:val="24"/>
          <w:szCs w:val="24"/>
        </w:rPr>
        <w:t xml:space="preserve"> (Example)</w:t>
      </w:r>
    </w:p>
    <w:p w14:paraId="3445F1F9" w14:textId="77777777" w:rsidR="00352260" w:rsidRPr="002878A3" w:rsidRDefault="00352260" w:rsidP="00352260">
      <w:pPr>
        <w:rPr>
          <w:sz w:val="20"/>
          <w:szCs w:val="20"/>
        </w:rPr>
      </w:pPr>
      <w:r w:rsidRPr="002878A3">
        <w:rPr>
          <w:sz w:val="20"/>
          <w:szCs w:val="20"/>
        </w:rPr>
        <w:t xml:space="preserve">Intellectual disability (ID) is the most common developmental disability and affects about 1–3% of the world population. ID refers to a person’s ability to learn, reason, make decision and solve problem (IQ &lt; 70). The most prevalent genetic abnormalities associated with ID are chromosomal aberrations (Down syndrome, Edward syndrome, Klinefelter syndrome, Turner syndrome), dysregulation of genetic imprinting (Angelman syndrome, Prader-Willi syndrome) and single gene mutations (XLID such as Coffin-Lowry syndrome, Fragile X syndrome). </w:t>
      </w:r>
    </w:p>
    <w:p w14:paraId="7A60AAB4" w14:textId="77777777" w:rsidR="00352260" w:rsidRPr="002878A3" w:rsidRDefault="00352260" w:rsidP="00352260">
      <w:pPr>
        <w:rPr>
          <w:sz w:val="20"/>
          <w:szCs w:val="20"/>
        </w:rPr>
      </w:pPr>
    </w:p>
    <w:p w14:paraId="6981C601" w14:textId="77777777" w:rsidR="00352260" w:rsidRPr="002878A3" w:rsidRDefault="00352260" w:rsidP="00352260">
      <w:pPr>
        <w:rPr>
          <w:sz w:val="20"/>
          <w:szCs w:val="20"/>
        </w:rPr>
      </w:pPr>
      <w:r w:rsidRPr="002878A3">
        <w:rPr>
          <w:sz w:val="20"/>
          <w:szCs w:val="20"/>
        </w:rPr>
        <w:t>Throughout life, the mammalian brain continuously generates new neurones that become integrated into the pre-existing neuronal networks. There is increasing number of literature on impairment of neurogenesis and altered synaptic connectivity in a variety of models relevant to ID (</w:t>
      </w:r>
      <w:r w:rsidRPr="002878A3">
        <w:rPr>
          <w:i/>
          <w:sz w:val="20"/>
          <w:szCs w:val="20"/>
        </w:rPr>
        <w:t>in vitro</w:t>
      </w:r>
      <w:r w:rsidRPr="002878A3">
        <w:rPr>
          <w:sz w:val="20"/>
          <w:szCs w:val="20"/>
        </w:rPr>
        <w:t xml:space="preserve">, animal and human samples).  Understanding the affected molecular pathways and cellular processes related to neurogenesis and neuroplasticity due to genetic abnormalities remains the great interest of the research community. </w:t>
      </w:r>
    </w:p>
    <w:p w14:paraId="32961611" w14:textId="77777777" w:rsidR="00352260" w:rsidRPr="002878A3" w:rsidRDefault="00352260" w:rsidP="00352260">
      <w:pPr>
        <w:rPr>
          <w:sz w:val="20"/>
          <w:szCs w:val="20"/>
        </w:rPr>
      </w:pPr>
    </w:p>
    <w:p w14:paraId="42D94DC3" w14:textId="77777777" w:rsidR="00352260" w:rsidRPr="002878A3" w:rsidRDefault="00352260" w:rsidP="00352260">
      <w:pPr>
        <w:rPr>
          <w:sz w:val="20"/>
          <w:szCs w:val="20"/>
        </w:rPr>
      </w:pPr>
      <w:r w:rsidRPr="002878A3">
        <w:rPr>
          <w:sz w:val="20"/>
          <w:szCs w:val="20"/>
        </w:rPr>
        <w:t>In this research topic related of neural plasticity and neurogenesis in ID, we are pleased to invite review or original research articles that reflect broad spectrum of ID that are impacted by abnormalities in neurogenesis and neuroplasticity, focusing on but are not limited to the following specialties:</w:t>
      </w:r>
    </w:p>
    <w:p w14:paraId="25890589" w14:textId="77777777" w:rsidR="00352260" w:rsidRPr="002878A3" w:rsidRDefault="00352260" w:rsidP="00352260">
      <w:pPr>
        <w:rPr>
          <w:sz w:val="20"/>
          <w:szCs w:val="20"/>
        </w:rPr>
      </w:pPr>
    </w:p>
    <w:p w14:paraId="14A62E7E" w14:textId="77777777" w:rsidR="00352260" w:rsidRPr="002878A3" w:rsidRDefault="00352260" w:rsidP="00352260">
      <w:pPr>
        <w:numPr>
          <w:ilvl w:val="0"/>
          <w:numId w:val="1"/>
        </w:numPr>
        <w:rPr>
          <w:sz w:val="20"/>
          <w:szCs w:val="20"/>
        </w:rPr>
      </w:pPr>
      <w:r w:rsidRPr="002878A3">
        <w:rPr>
          <w:sz w:val="20"/>
          <w:szCs w:val="20"/>
        </w:rPr>
        <w:t>Molecular neurogenetics of in vitro or in vivo ID models,</w:t>
      </w:r>
    </w:p>
    <w:p w14:paraId="46524375" w14:textId="77777777" w:rsidR="00352260" w:rsidRPr="002878A3" w:rsidRDefault="00352260" w:rsidP="00352260">
      <w:pPr>
        <w:numPr>
          <w:ilvl w:val="0"/>
          <w:numId w:val="1"/>
        </w:numPr>
        <w:rPr>
          <w:sz w:val="20"/>
          <w:szCs w:val="20"/>
        </w:rPr>
      </w:pPr>
      <w:r w:rsidRPr="002878A3">
        <w:rPr>
          <w:sz w:val="20"/>
          <w:szCs w:val="20"/>
        </w:rPr>
        <w:t>Transcriptomics, proteomics and metabolomics studies on ID,</w:t>
      </w:r>
    </w:p>
    <w:p w14:paraId="5CF2B55F" w14:textId="77777777" w:rsidR="00352260" w:rsidRPr="002878A3" w:rsidRDefault="00352260" w:rsidP="00352260">
      <w:pPr>
        <w:numPr>
          <w:ilvl w:val="0"/>
          <w:numId w:val="1"/>
        </w:numPr>
        <w:rPr>
          <w:sz w:val="20"/>
          <w:szCs w:val="20"/>
        </w:rPr>
      </w:pPr>
      <w:r w:rsidRPr="002878A3">
        <w:rPr>
          <w:sz w:val="20"/>
          <w:szCs w:val="20"/>
        </w:rPr>
        <w:t>Neuroimaging studies involving animal model or human subjects for ID,</w:t>
      </w:r>
    </w:p>
    <w:p w14:paraId="6624DD7E" w14:textId="77777777" w:rsidR="00352260" w:rsidRPr="002878A3" w:rsidRDefault="00352260" w:rsidP="00352260">
      <w:pPr>
        <w:numPr>
          <w:ilvl w:val="0"/>
          <w:numId w:val="1"/>
        </w:numPr>
        <w:rPr>
          <w:sz w:val="20"/>
          <w:szCs w:val="20"/>
        </w:rPr>
      </w:pPr>
      <w:r w:rsidRPr="002878A3">
        <w:rPr>
          <w:sz w:val="20"/>
          <w:szCs w:val="20"/>
        </w:rPr>
        <w:t>Roles of non-coding RNAs in ID development,</w:t>
      </w:r>
    </w:p>
    <w:p w14:paraId="2F521EC4" w14:textId="77777777" w:rsidR="00352260" w:rsidRPr="002878A3" w:rsidRDefault="00352260" w:rsidP="00352260">
      <w:pPr>
        <w:numPr>
          <w:ilvl w:val="0"/>
          <w:numId w:val="1"/>
        </w:numPr>
        <w:rPr>
          <w:sz w:val="20"/>
          <w:szCs w:val="20"/>
        </w:rPr>
      </w:pPr>
      <w:r w:rsidRPr="002878A3">
        <w:rPr>
          <w:sz w:val="20"/>
          <w:szCs w:val="20"/>
        </w:rPr>
        <w:t>Neurophysiology or electrophysiology analysis of ID,</w:t>
      </w:r>
    </w:p>
    <w:p w14:paraId="7C72FF92" w14:textId="77777777" w:rsidR="00352260" w:rsidRPr="002878A3" w:rsidRDefault="00352260" w:rsidP="00352260">
      <w:pPr>
        <w:numPr>
          <w:ilvl w:val="0"/>
          <w:numId w:val="1"/>
        </w:numPr>
        <w:rPr>
          <w:sz w:val="20"/>
          <w:szCs w:val="20"/>
        </w:rPr>
      </w:pPr>
      <w:r w:rsidRPr="002878A3">
        <w:rPr>
          <w:sz w:val="20"/>
          <w:szCs w:val="20"/>
        </w:rPr>
        <w:t>Behavioral study in relation to long-term potentiation, memory consolidation and improved learning outcome, and</w:t>
      </w:r>
    </w:p>
    <w:p w14:paraId="62C370FC" w14:textId="77777777" w:rsidR="00352260" w:rsidRPr="002878A3" w:rsidRDefault="00352260" w:rsidP="00352260">
      <w:pPr>
        <w:numPr>
          <w:ilvl w:val="0"/>
          <w:numId w:val="1"/>
        </w:numPr>
        <w:rPr>
          <w:sz w:val="20"/>
          <w:szCs w:val="20"/>
        </w:rPr>
      </w:pPr>
      <w:r w:rsidRPr="002878A3">
        <w:rPr>
          <w:sz w:val="20"/>
          <w:szCs w:val="20"/>
        </w:rPr>
        <w:t>Current molecular or pharmacological therapies or approaches that aims at stimulating neurogenesis or improving neural plasticity in ID models or human subjects.</w:t>
      </w:r>
    </w:p>
    <w:p w14:paraId="7ED25194" w14:textId="77777777" w:rsidR="00352260" w:rsidRPr="00F6518B" w:rsidRDefault="00352260" w:rsidP="00352260">
      <w:pPr>
        <w:rPr>
          <w:sz w:val="24"/>
          <w:szCs w:val="24"/>
        </w:rPr>
      </w:pPr>
    </w:p>
    <w:p w14:paraId="65909964" w14:textId="77B8B215" w:rsidR="009F69ED" w:rsidRPr="00F6518B" w:rsidRDefault="009F69ED">
      <w:pPr>
        <w:spacing w:after="200"/>
        <w:rPr>
          <w:sz w:val="24"/>
          <w:szCs w:val="24"/>
        </w:rPr>
      </w:pPr>
      <w:r w:rsidRPr="00F6518B">
        <w:rPr>
          <w:sz w:val="24"/>
          <w:szCs w:val="24"/>
        </w:rPr>
        <w:br w:type="page"/>
      </w:r>
    </w:p>
    <w:p w14:paraId="6BC68880" w14:textId="77777777" w:rsidR="009F69ED" w:rsidRPr="002878A3" w:rsidRDefault="009F69ED" w:rsidP="009F69ED">
      <w:pPr>
        <w:rPr>
          <w:sz w:val="20"/>
          <w:szCs w:val="20"/>
        </w:rPr>
      </w:pPr>
      <w:r w:rsidRPr="00F6518B">
        <w:rPr>
          <w:b/>
          <w:sz w:val="24"/>
          <w:szCs w:val="24"/>
        </w:rPr>
        <w:lastRenderedPageBreak/>
        <w:t>Special Issue Editor</w:t>
      </w:r>
      <w:r w:rsidRPr="00F6518B">
        <w:rPr>
          <w:sz w:val="24"/>
          <w:szCs w:val="24"/>
        </w:rPr>
        <w:br/>
      </w:r>
      <w:r w:rsidRPr="002878A3">
        <w:rPr>
          <w:sz w:val="20"/>
          <w:szCs w:val="20"/>
        </w:rPr>
        <w:t xml:space="preserve">Photo: </w:t>
      </w:r>
    </w:p>
    <w:p w14:paraId="0AE664D7" w14:textId="7854C698" w:rsidR="009F69ED" w:rsidRPr="002878A3" w:rsidRDefault="009F69ED" w:rsidP="009F69ED">
      <w:pPr>
        <w:rPr>
          <w:sz w:val="20"/>
          <w:szCs w:val="20"/>
        </w:rPr>
      </w:pPr>
      <w:r w:rsidRPr="002878A3">
        <w:rPr>
          <w:sz w:val="20"/>
          <w:szCs w:val="20"/>
        </w:rPr>
        <w:t>Name:</w:t>
      </w:r>
    </w:p>
    <w:p w14:paraId="6753B292" w14:textId="09EFCAB0" w:rsidR="009F69ED" w:rsidRPr="002878A3" w:rsidRDefault="00F6518B" w:rsidP="009F69ED">
      <w:pPr>
        <w:rPr>
          <w:sz w:val="20"/>
          <w:szCs w:val="20"/>
        </w:rPr>
      </w:pPr>
      <w:r w:rsidRPr="002878A3">
        <w:rPr>
          <w:sz w:val="20"/>
          <w:szCs w:val="20"/>
        </w:rPr>
        <w:t xml:space="preserve">Institutional </w:t>
      </w:r>
      <w:r w:rsidR="009F69ED" w:rsidRPr="002878A3">
        <w:rPr>
          <w:sz w:val="20"/>
          <w:szCs w:val="20"/>
        </w:rPr>
        <w:t>Email:</w:t>
      </w:r>
    </w:p>
    <w:p w14:paraId="3FDD04D5" w14:textId="571D23CF" w:rsidR="009F69ED" w:rsidRPr="002878A3" w:rsidRDefault="009F69ED" w:rsidP="009F69ED">
      <w:pPr>
        <w:rPr>
          <w:sz w:val="20"/>
          <w:szCs w:val="20"/>
        </w:rPr>
      </w:pPr>
      <w:r w:rsidRPr="002878A3">
        <w:rPr>
          <w:sz w:val="20"/>
          <w:szCs w:val="20"/>
        </w:rPr>
        <w:t>Affiliation:</w:t>
      </w:r>
    </w:p>
    <w:p w14:paraId="13F3A421" w14:textId="6652400C" w:rsidR="009F69ED" w:rsidRPr="002878A3" w:rsidRDefault="009F69ED" w:rsidP="009F69ED">
      <w:pPr>
        <w:rPr>
          <w:sz w:val="20"/>
          <w:szCs w:val="20"/>
        </w:rPr>
      </w:pPr>
      <w:r w:rsidRPr="002878A3">
        <w:rPr>
          <w:sz w:val="20"/>
          <w:szCs w:val="20"/>
        </w:rPr>
        <w:t>Specialization:</w:t>
      </w:r>
    </w:p>
    <w:p w14:paraId="0E4F2DB6" w14:textId="21A389A5" w:rsidR="009F69ED" w:rsidRPr="002878A3" w:rsidRDefault="009F69ED" w:rsidP="009F69ED">
      <w:pPr>
        <w:rPr>
          <w:sz w:val="20"/>
          <w:szCs w:val="20"/>
        </w:rPr>
      </w:pPr>
      <w:r w:rsidRPr="002878A3">
        <w:rPr>
          <w:sz w:val="20"/>
          <w:szCs w:val="20"/>
        </w:rPr>
        <w:t>Biodata (no more than 100 words):</w:t>
      </w:r>
    </w:p>
    <w:p w14:paraId="5843683C" w14:textId="01FEF631" w:rsidR="009F69ED" w:rsidRPr="002878A3" w:rsidRDefault="009F69ED" w:rsidP="009F69ED">
      <w:pPr>
        <w:rPr>
          <w:sz w:val="20"/>
          <w:szCs w:val="20"/>
        </w:rPr>
      </w:pPr>
      <w:r w:rsidRPr="00F6518B">
        <w:rPr>
          <w:sz w:val="24"/>
          <w:szCs w:val="24"/>
        </w:rPr>
        <w:br/>
      </w:r>
      <w:r w:rsidRPr="00F6518B">
        <w:rPr>
          <w:b/>
          <w:sz w:val="24"/>
          <w:szCs w:val="24"/>
        </w:rPr>
        <w:t>Special Issue Co-Editor(s)</w:t>
      </w:r>
      <w:r w:rsidR="00F6518B" w:rsidRPr="00F6518B">
        <w:rPr>
          <w:b/>
          <w:sz w:val="24"/>
          <w:szCs w:val="24"/>
        </w:rPr>
        <w:t xml:space="preserve"> (minimum 1 and maximum 2)</w:t>
      </w:r>
      <w:r w:rsidRPr="00F6518B">
        <w:rPr>
          <w:sz w:val="24"/>
          <w:szCs w:val="24"/>
        </w:rPr>
        <w:br/>
      </w:r>
      <w:r w:rsidRPr="002878A3">
        <w:rPr>
          <w:sz w:val="20"/>
          <w:szCs w:val="20"/>
        </w:rPr>
        <w:t xml:space="preserve">Photo: </w:t>
      </w:r>
    </w:p>
    <w:p w14:paraId="2D02AB2D" w14:textId="018B7859" w:rsidR="009F69ED" w:rsidRPr="002878A3" w:rsidRDefault="009F69ED" w:rsidP="009F69ED">
      <w:pPr>
        <w:rPr>
          <w:sz w:val="20"/>
          <w:szCs w:val="20"/>
        </w:rPr>
      </w:pPr>
      <w:r w:rsidRPr="002878A3">
        <w:rPr>
          <w:sz w:val="20"/>
          <w:szCs w:val="20"/>
        </w:rPr>
        <w:t>Name:</w:t>
      </w:r>
    </w:p>
    <w:p w14:paraId="5E94A4F4" w14:textId="6AE1DDC2" w:rsidR="009F69ED" w:rsidRPr="002878A3" w:rsidRDefault="00F6518B" w:rsidP="009F69ED">
      <w:pPr>
        <w:rPr>
          <w:sz w:val="20"/>
          <w:szCs w:val="20"/>
        </w:rPr>
      </w:pPr>
      <w:r w:rsidRPr="002878A3">
        <w:rPr>
          <w:sz w:val="20"/>
          <w:szCs w:val="20"/>
        </w:rPr>
        <w:t xml:space="preserve">Institutional </w:t>
      </w:r>
      <w:r w:rsidR="009F69ED" w:rsidRPr="002878A3">
        <w:rPr>
          <w:sz w:val="20"/>
          <w:szCs w:val="20"/>
        </w:rPr>
        <w:t>Email:</w:t>
      </w:r>
    </w:p>
    <w:p w14:paraId="5A6DADF8" w14:textId="77777777" w:rsidR="009F69ED" w:rsidRPr="002878A3" w:rsidRDefault="009F69ED" w:rsidP="009F69ED">
      <w:pPr>
        <w:rPr>
          <w:sz w:val="20"/>
          <w:szCs w:val="20"/>
        </w:rPr>
      </w:pPr>
      <w:r w:rsidRPr="002878A3">
        <w:rPr>
          <w:sz w:val="20"/>
          <w:szCs w:val="20"/>
        </w:rPr>
        <w:t>Affiliation:</w:t>
      </w:r>
    </w:p>
    <w:p w14:paraId="3CB7EE04" w14:textId="77777777" w:rsidR="009F69ED" w:rsidRPr="002878A3" w:rsidRDefault="009F69ED" w:rsidP="009F69ED">
      <w:pPr>
        <w:rPr>
          <w:sz w:val="20"/>
          <w:szCs w:val="20"/>
        </w:rPr>
      </w:pPr>
      <w:r w:rsidRPr="002878A3">
        <w:rPr>
          <w:sz w:val="20"/>
          <w:szCs w:val="20"/>
        </w:rPr>
        <w:t>Specialization:</w:t>
      </w:r>
    </w:p>
    <w:p w14:paraId="7732F102" w14:textId="77777777" w:rsidR="009F69ED" w:rsidRPr="002878A3" w:rsidRDefault="009F69ED" w:rsidP="009F69ED">
      <w:pPr>
        <w:rPr>
          <w:sz w:val="20"/>
          <w:szCs w:val="20"/>
        </w:rPr>
      </w:pPr>
      <w:r w:rsidRPr="002878A3">
        <w:rPr>
          <w:sz w:val="20"/>
          <w:szCs w:val="20"/>
        </w:rPr>
        <w:t>Biodata (no more than 100 words):</w:t>
      </w:r>
    </w:p>
    <w:p w14:paraId="0394D036" w14:textId="760557A1" w:rsidR="00352260" w:rsidRPr="00F6518B" w:rsidRDefault="00352260" w:rsidP="009F69ED">
      <w:pPr>
        <w:rPr>
          <w:sz w:val="24"/>
          <w:szCs w:val="24"/>
        </w:rPr>
      </w:pPr>
    </w:p>
    <w:p w14:paraId="4623B9BD" w14:textId="47F611E7" w:rsidR="00F6518B" w:rsidRPr="00F6518B" w:rsidRDefault="00F6518B" w:rsidP="00F6518B">
      <w:pPr>
        <w:rPr>
          <w:sz w:val="24"/>
          <w:szCs w:val="24"/>
        </w:rPr>
      </w:pPr>
      <w:r w:rsidRPr="00F6518B">
        <w:rPr>
          <w:b/>
          <w:sz w:val="24"/>
          <w:szCs w:val="24"/>
        </w:rPr>
        <w:t>Information on Special Issue</w:t>
      </w:r>
    </w:p>
    <w:tbl>
      <w:tblPr>
        <w:tblW w:w="9090" w:type="dxa"/>
        <w:jc w:val="center"/>
        <w:tblBorders>
          <w:top w:val="single" w:sz="4" w:space="0" w:color="000080"/>
          <w:left w:val="single" w:sz="4" w:space="0" w:color="000000"/>
          <w:bottom w:val="single" w:sz="4" w:space="0" w:color="000080"/>
          <w:right w:val="single" w:sz="4" w:space="0" w:color="000000"/>
          <w:insideH w:val="single" w:sz="4" w:space="0" w:color="000080"/>
          <w:insideV w:val="single" w:sz="4" w:space="0" w:color="000000"/>
        </w:tblBorders>
        <w:tblLayout w:type="fixed"/>
        <w:tblCellMar>
          <w:left w:w="64" w:type="dxa"/>
          <w:right w:w="64" w:type="dxa"/>
        </w:tblCellMar>
        <w:tblLook w:val="00A0" w:firstRow="1" w:lastRow="0" w:firstColumn="1" w:lastColumn="0" w:noHBand="0" w:noVBand="0"/>
      </w:tblPr>
      <w:tblGrid>
        <w:gridCol w:w="6695"/>
        <w:gridCol w:w="2395"/>
      </w:tblGrid>
      <w:tr w:rsidR="00352260" w:rsidRPr="00F6518B" w14:paraId="50295090" w14:textId="77777777" w:rsidTr="00084E06">
        <w:trPr>
          <w:jc w:val="center"/>
        </w:trPr>
        <w:tc>
          <w:tcPr>
            <w:tcW w:w="6695" w:type="dxa"/>
            <w:tcBorders>
              <w:top w:val="single" w:sz="4" w:space="0" w:color="000080"/>
              <w:left w:val="single" w:sz="4" w:space="0" w:color="000000"/>
              <w:bottom w:val="single" w:sz="4" w:space="0" w:color="000080"/>
              <w:right w:val="single" w:sz="4" w:space="0" w:color="000000"/>
            </w:tcBorders>
            <w:vAlign w:val="center"/>
            <w:hideMark/>
          </w:tcPr>
          <w:p w14:paraId="420E61A1" w14:textId="48566512" w:rsidR="00352260" w:rsidRPr="00084E06" w:rsidRDefault="009F69ED" w:rsidP="00617D42">
            <w:pPr>
              <w:spacing w:after="240"/>
              <w:rPr>
                <w:sz w:val="20"/>
                <w:szCs w:val="20"/>
              </w:rPr>
            </w:pPr>
            <w:r w:rsidRPr="00084E06">
              <w:rPr>
                <w:sz w:val="20"/>
                <w:szCs w:val="20"/>
              </w:rPr>
              <w:t xml:space="preserve">Expected minimum number of solicited manuscript </w:t>
            </w:r>
            <w:r w:rsidR="002878A3" w:rsidRPr="00084E06">
              <w:rPr>
                <w:sz w:val="20"/>
                <w:szCs w:val="20"/>
              </w:rPr>
              <w:t>published</w:t>
            </w:r>
            <w:r w:rsidRPr="00084E06">
              <w:rPr>
                <w:sz w:val="20"/>
                <w:szCs w:val="20"/>
              </w:rPr>
              <w:t xml:space="preserve"> under Research/Technical Notes, Mini Review and Hypothetical Papers categories</w:t>
            </w:r>
          </w:p>
        </w:tc>
        <w:tc>
          <w:tcPr>
            <w:tcW w:w="2395" w:type="dxa"/>
            <w:tcBorders>
              <w:top w:val="single" w:sz="4" w:space="0" w:color="000080"/>
              <w:left w:val="single" w:sz="4" w:space="0" w:color="000000"/>
              <w:bottom w:val="single" w:sz="4" w:space="0" w:color="000080"/>
              <w:right w:val="single" w:sz="4" w:space="0" w:color="000000"/>
            </w:tcBorders>
            <w:vAlign w:val="center"/>
            <w:hideMark/>
          </w:tcPr>
          <w:p w14:paraId="3CC4421E" w14:textId="6FBEA405" w:rsidR="00352260" w:rsidRPr="00084E06" w:rsidRDefault="009C31C9" w:rsidP="009F69ED">
            <w:pPr>
              <w:spacing w:after="240"/>
              <w:jc w:val="center"/>
              <w:rPr>
                <w:b/>
                <w:sz w:val="20"/>
                <w:szCs w:val="20"/>
              </w:rPr>
            </w:pPr>
            <w:r>
              <w:rPr>
                <w:b/>
                <w:sz w:val="20"/>
                <w:szCs w:val="20"/>
              </w:rPr>
              <w:t>5</w:t>
            </w:r>
          </w:p>
        </w:tc>
      </w:tr>
      <w:tr w:rsidR="0082374F" w:rsidRPr="00F6518B" w14:paraId="24522BB6" w14:textId="77777777" w:rsidTr="00084E06">
        <w:trPr>
          <w:jc w:val="center"/>
        </w:trPr>
        <w:tc>
          <w:tcPr>
            <w:tcW w:w="6695" w:type="dxa"/>
            <w:tcBorders>
              <w:top w:val="single" w:sz="4" w:space="0" w:color="000080"/>
              <w:left w:val="single" w:sz="4" w:space="0" w:color="000000"/>
              <w:bottom w:val="single" w:sz="4" w:space="0" w:color="000080"/>
              <w:right w:val="single" w:sz="4" w:space="0" w:color="000000"/>
            </w:tcBorders>
            <w:vAlign w:val="center"/>
          </w:tcPr>
          <w:p w14:paraId="5642A6DF" w14:textId="191681F5" w:rsidR="0082374F" w:rsidRPr="00084E06" w:rsidRDefault="0082374F" w:rsidP="00617D42">
            <w:pPr>
              <w:spacing w:after="240"/>
              <w:rPr>
                <w:sz w:val="20"/>
                <w:szCs w:val="20"/>
              </w:rPr>
            </w:pPr>
            <w:r>
              <w:rPr>
                <w:sz w:val="20"/>
                <w:szCs w:val="20"/>
              </w:rPr>
              <w:t>Editorial Notes</w:t>
            </w:r>
          </w:p>
        </w:tc>
        <w:tc>
          <w:tcPr>
            <w:tcW w:w="2395" w:type="dxa"/>
            <w:tcBorders>
              <w:top w:val="single" w:sz="4" w:space="0" w:color="000080"/>
              <w:left w:val="single" w:sz="4" w:space="0" w:color="000000"/>
              <w:bottom w:val="single" w:sz="4" w:space="0" w:color="000080"/>
              <w:right w:val="single" w:sz="4" w:space="0" w:color="000000"/>
            </w:tcBorders>
            <w:vAlign w:val="center"/>
          </w:tcPr>
          <w:p w14:paraId="5608A296" w14:textId="0F8440D0" w:rsidR="0082374F" w:rsidRDefault="0082374F" w:rsidP="009F69ED">
            <w:pPr>
              <w:spacing w:after="240"/>
              <w:jc w:val="center"/>
              <w:rPr>
                <w:b/>
                <w:sz w:val="20"/>
                <w:szCs w:val="20"/>
              </w:rPr>
            </w:pPr>
            <w:r>
              <w:rPr>
                <w:b/>
                <w:sz w:val="20"/>
                <w:szCs w:val="20"/>
              </w:rPr>
              <w:t>1</w:t>
            </w:r>
          </w:p>
        </w:tc>
      </w:tr>
      <w:tr w:rsidR="00352260" w:rsidRPr="00F6518B" w14:paraId="5DC16B69" w14:textId="77777777" w:rsidTr="00084E06">
        <w:trPr>
          <w:jc w:val="center"/>
        </w:trPr>
        <w:tc>
          <w:tcPr>
            <w:tcW w:w="6695" w:type="dxa"/>
            <w:tcBorders>
              <w:top w:val="single" w:sz="4" w:space="0" w:color="000080"/>
              <w:left w:val="single" w:sz="4" w:space="0" w:color="000000"/>
              <w:bottom w:val="single" w:sz="4" w:space="0" w:color="000080"/>
              <w:right w:val="single" w:sz="4" w:space="0" w:color="000000"/>
            </w:tcBorders>
            <w:vAlign w:val="center"/>
            <w:hideMark/>
          </w:tcPr>
          <w:p w14:paraId="5C049215" w14:textId="677A7B55" w:rsidR="00352260" w:rsidRPr="00084E06" w:rsidRDefault="009F69ED" w:rsidP="00617D42">
            <w:pPr>
              <w:spacing w:after="240"/>
              <w:rPr>
                <w:sz w:val="20"/>
                <w:szCs w:val="20"/>
              </w:rPr>
            </w:pPr>
            <w:r w:rsidRPr="00084E06">
              <w:rPr>
                <w:sz w:val="20"/>
                <w:szCs w:val="20"/>
              </w:rPr>
              <w:t>Call for Papers start date</w:t>
            </w:r>
          </w:p>
        </w:tc>
        <w:tc>
          <w:tcPr>
            <w:tcW w:w="2395" w:type="dxa"/>
            <w:tcBorders>
              <w:top w:val="single" w:sz="4" w:space="0" w:color="000080"/>
              <w:left w:val="single" w:sz="4" w:space="0" w:color="000000"/>
              <w:bottom w:val="single" w:sz="4" w:space="0" w:color="000080"/>
              <w:right w:val="single" w:sz="4" w:space="0" w:color="000000"/>
            </w:tcBorders>
            <w:vAlign w:val="center"/>
            <w:hideMark/>
          </w:tcPr>
          <w:p w14:paraId="36650D71" w14:textId="69917DA0" w:rsidR="00352260" w:rsidRPr="00084E06" w:rsidRDefault="0082374F" w:rsidP="009F69ED">
            <w:pPr>
              <w:spacing w:after="240"/>
              <w:jc w:val="center"/>
              <w:rPr>
                <w:b/>
                <w:sz w:val="20"/>
                <w:szCs w:val="20"/>
              </w:rPr>
            </w:pPr>
            <w:r>
              <w:rPr>
                <w:b/>
                <w:sz w:val="20"/>
                <w:szCs w:val="20"/>
              </w:rPr>
              <w:t>Anytime</w:t>
            </w:r>
          </w:p>
        </w:tc>
      </w:tr>
      <w:tr w:rsidR="00352260" w:rsidRPr="00F6518B" w14:paraId="39ECE839" w14:textId="77777777" w:rsidTr="00084E06">
        <w:trPr>
          <w:jc w:val="center"/>
        </w:trPr>
        <w:tc>
          <w:tcPr>
            <w:tcW w:w="6695" w:type="dxa"/>
            <w:tcBorders>
              <w:top w:val="single" w:sz="4" w:space="0" w:color="000080"/>
              <w:left w:val="single" w:sz="4" w:space="0" w:color="000000"/>
              <w:bottom w:val="single" w:sz="4" w:space="0" w:color="000080"/>
              <w:right w:val="single" w:sz="4" w:space="0" w:color="000000"/>
            </w:tcBorders>
            <w:vAlign w:val="center"/>
            <w:hideMark/>
          </w:tcPr>
          <w:p w14:paraId="6042804C" w14:textId="48E89BD8" w:rsidR="00352260" w:rsidRPr="00084E06" w:rsidRDefault="009F69ED" w:rsidP="00617D42">
            <w:pPr>
              <w:spacing w:after="240"/>
              <w:rPr>
                <w:sz w:val="20"/>
                <w:szCs w:val="20"/>
              </w:rPr>
            </w:pPr>
            <w:r w:rsidRPr="00084E06">
              <w:rPr>
                <w:sz w:val="20"/>
                <w:szCs w:val="20"/>
              </w:rPr>
              <w:t xml:space="preserve">Final </w:t>
            </w:r>
            <w:r w:rsidR="00352260" w:rsidRPr="00084E06">
              <w:rPr>
                <w:sz w:val="20"/>
                <w:szCs w:val="20"/>
              </w:rPr>
              <w:t>Publication Date</w:t>
            </w:r>
            <w:r w:rsidRPr="00084E06">
              <w:rPr>
                <w:sz w:val="20"/>
                <w:szCs w:val="20"/>
              </w:rPr>
              <w:t>**</w:t>
            </w:r>
          </w:p>
        </w:tc>
        <w:tc>
          <w:tcPr>
            <w:tcW w:w="2395" w:type="dxa"/>
            <w:tcBorders>
              <w:top w:val="single" w:sz="4" w:space="0" w:color="000080"/>
              <w:left w:val="single" w:sz="4" w:space="0" w:color="000000"/>
              <w:bottom w:val="single" w:sz="4" w:space="0" w:color="000080"/>
              <w:right w:val="single" w:sz="4" w:space="0" w:color="000000"/>
            </w:tcBorders>
            <w:vAlign w:val="center"/>
            <w:hideMark/>
          </w:tcPr>
          <w:p w14:paraId="7240C5B0" w14:textId="241FECD8" w:rsidR="00352260" w:rsidRPr="00084E06" w:rsidRDefault="0082374F" w:rsidP="009F69ED">
            <w:pPr>
              <w:spacing w:after="240"/>
              <w:jc w:val="center"/>
              <w:rPr>
                <w:b/>
                <w:sz w:val="20"/>
                <w:szCs w:val="20"/>
              </w:rPr>
            </w:pPr>
            <w:r>
              <w:rPr>
                <w:b/>
                <w:sz w:val="20"/>
                <w:szCs w:val="20"/>
              </w:rPr>
              <w:t>6 months to 9 months from the start date.</w:t>
            </w:r>
            <w:bookmarkStart w:id="0" w:name="_GoBack"/>
            <w:bookmarkEnd w:id="0"/>
          </w:p>
        </w:tc>
      </w:tr>
    </w:tbl>
    <w:p w14:paraId="5095B324" w14:textId="14EAB52B" w:rsidR="00352260" w:rsidRPr="002878A3" w:rsidRDefault="009F69ED" w:rsidP="009F69ED">
      <w:pPr>
        <w:pStyle w:val="ListParagraph"/>
        <w:ind w:left="0"/>
        <w:rPr>
          <w:rFonts w:ascii="Arial" w:hAnsi="Arial" w:cs="Arial"/>
          <w:sz w:val="16"/>
          <w:szCs w:val="16"/>
          <w:lang w:val="en-US"/>
        </w:rPr>
      </w:pPr>
      <w:r w:rsidRPr="002878A3">
        <w:rPr>
          <w:rFonts w:ascii="Arial" w:hAnsi="Arial" w:cs="Arial"/>
          <w:sz w:val="16"/>
          <w:szCs w:val="16"/>
          <w:lang w:val="en-US"/>
        </w:rPr>
        <w:t>** Neuroscience Research Notes adopted publish on-the-go concept where accepted papers are published immediately after within the issue until the final publication date. No papers will be published within the issue after the date and pending articles will be published to the subsequent issue.</w:t>
      </w:r>
      <w:r w:rsidR="00F6518B" w:rsidRPr="002878A3">
        <w:rPr>
          <w:rFonts w:ascii="Arial" w:hAnsi="Arial" w:cs="Arial"/>
          <w:sz w:val="16"/>
          <w:szCs w:val="16"/>
          <w:lang w:val="en-US"/>
        </w:rPr>
        <w:t xml:space="preserve"> All manuscript submissions, reviews, revisions and acceptance must take place between the “Call for Papers Start Date” and “Final Publication Date”.</w:t>
      </w:r>
    </w:p>
    <w:p w14:paraId="451DB0AF" w14:textId="1F101420" w:rsidR="00F6518B" w:rsidRPr="00F6518B" w:rsidRDefault="00F6518B" w:rsidP="00352260">
      <w:pPr>
        <w:rPr>
          <w:b/>
          <w:sz w:val="24"/>
          <w:szCs w:val="24"/>
        </w:rPr>
      </w:pPr>
      <w:r w:rsidRPr="00F6518B">
        <w:rPr>
          <w:b/>
          <w:sz w:val="24"/>
          <w:szCs w:val="24"/>
        </w:rPr>
        <w:t>Terms and Conditions</w:t>
      </w:r>
    </w:p>
    <w:p w14:paraId="1C500FF6" w14:textId="61770845" w:rsidR="00F6518B" w:rsidRPr="002878A3" w:rsidRDefault="00F6518B" w:rsidP="00F6518B">
      <w:pPr>
        <w:pStyle w:val="ListParagraph"/>
        <w:numPr>
          <w:ilvl w:val="0"/>
          <w:numId w:val="2"/>
        </w:numPr>
        <w:ind w:left="360"/>
        <w:rPr>
          <w:rFonts w:ascii="Arial" w:hAnsi="Arial" w:cs="Arial"/>
          <w:sz w:val="20"/>
          <w:szCs w:val="20"/>
        </w:rPr>
      </w:pPr>
      <w:r w:rsidRPr="002878A3">
        <w:rPr>
          <w:rFonts w:ascii="Arial" w:hAnsi="Arial" w:cs="Arial"/>
          <w:sz w:val="20"/>
          <w:szCs w:val="20"/>
          <w:lang w:val="en-US"/>
        </w:rPr>
        <w:t>Each special issue editor is only allowed to submit 1 article as corresponding author.</w:t>
      </w:r>
    </w:p>
    <w:p w14:paraId="21C23C05" w14:textId="7C003551" w:rsidR="00F6518B" w:rsidRPr="002878A3" w:rsidRDefault="00F6518B" w:rsidP="00F6518B">
      <w:pPr>
        <w:pStyle w:val="ListParagraph"/>
        <w:numPr>
          <w:ilvl w:val="0"/>
          <w:numId w:val="2"/>
        </w:numPr>
        <w:ind w:left="360"/>
        <w:rPr>
          <w:rFonts w:ascii="Arial" w:hAnsi="Arial" w:cs="Arial"/>
          <w:sz w:val="20"/>
          <w:szCs w:val="20"/>
        </w:rPr>
      </w:pPr>
      <w:r w:rsidRPr="002878A3">
        <w:rPr>
          <w:rFonts w:ascii="Arial" w:hAnsi="Arial" w:cs="Arial"/>
          <w:sz w:val="20"/>
          <w:szCs w:val="20"/>
          <w:lang w:val="en-US"/>
        </w:rPr>
        <w:t>Special issue editorial team must be expert in the field proposed under the special issue title and must have demonstrated good publication track records in the propose field.</w:t>
      </w:r>
    </w:p>
    <w:p w14:paraId="2F0A56D8" w14:textId="4741BEBF" w:rsidR="00F6518B" w:rsidRPr="002878A3" w:rsidRDefault="00F6518B" w:rsidP="00F6518B">
      <w:pPr>
        <w:pStyle w:val="ListParagraph"/>
        <w:numPr>
          <w:ilvl w:val="0"/>
          <w:numId w:val="2"/>
        </w:numPr>
        <w:ind w:left="360"/>
        <w:rPr>
          <w:rFonts w:ascii="Arial" w:hAnsi="Arial" w:cs="Arial"/>
          <w:sz w:val="20"/>
          <w:szCs w:val="20"/>
        </w:rPr>
      </w:pPr>
      <w:r w:rsidRPr="002878A3">
        <w:rPr>
          <w:rFonts w:ascii="Arial" w:hAnsi="Arial" w:cs="Arial"/>
          <w:sz w:val="20"/>
          <w:szCs w:val="20"/>
          <w:lang w:val="en-US"/>
        </w:rPr>
        <w:t>It is recommended to have special issue editorial team with members from different country</w:t>
      </w:r>
      <w:r w:rsidR="002878A3" w:rsidRPr="002878A3">
        <w:rPr>
          <w:rFonts w:ascii="Arial" w:hAnsi="Arial" w:cs="Arial"/>
          <w:sz w:val="20"/>
          <w:szCs w:val="20"/>
          <w:lang w:val="en-US"/>
        </w:rPr>
        <w:t xml:space="preserve">. </w:t>
      </w:r>
    </w:p>
    <w:p w14:paraId="403F7808" w14:textId="5E75BD05" w:rsidR="002878A3" w:rsidRPr="002878A3" w:rsidRDefault="002878A3" w:rsidP="00F6518B">
      <w:pPr>
        <w:pStyle w:val="ListParagraph"/>
        <w:numPr>
          <w:ilvl w:val="0"/>
          <w:numId w:val="2"/>
        </w:numPr>
        <w:ind w:left="360"/>
        <w:rPr>
          <w:rFonts w:ascii="Arial" w:hAnsi="Arial" w:cs="Arial"/>
          <w:sz w:val="20"/>
          <w:szCs w:val="20"/>
        </w:rPr>
      </w:pPr>
      <w:r w:rsidRPr="002878A3">
        <w:rPr>
          <w:rFonts w:ascii="Arial" w:hAnsi="Arial" w:cs="Arial"/>
          <w:sz w:val="20"/>
          <w:szCs w:val="20"/>
          <w:lang w:val="en-US"/>
        </w:rPr>
        <w:t>All manuscript submission, peer-reviewing, editorial policy and technical requirements must follow the guidelines (</w:t>
      </w:r>
      <w:hyperlink r:id="rId6" w:history="1">
        <w:r w:rsidRPr="002878A3">
          <w:rPr>
            <w:rStyle w:val="Hyperlink"/>
            <w:rFonts w:ascii="Arial" w:hAnsi="Arial" w:cs="Arial"/>
            <w:sz w:val="20"/>
            <w:szCs w:val="20"/>
            <w:lang w:val="en-US"/>
          </w:rPr>
          <w:t>https://www.neuroscirn.org/author/</w:t>
        </w:r>
      </w:hyperlink>
      <w:r w:rsidRPr="002878A3">
        <w:rPr>
          <w:rFonts w:ascii="Arial" w:hAnsi="Arial" w:cs="Arial"/>
          <w:sz w:val="20"/>
          <w:szCs w:val="20"/>
          <w:lang w:val="en-US"/>
        </w:rPr>
        <w:t>) and terms of service (</w:t>
      </w:r>
      <w:hyperlink r:id="rId7" w:history="1">
        <w:r w:rsidRPr="002878A3">
          <w:rPr>
            <w:rStyle w:val="Hyperlink"/>
            <w:rFonts w:ascii="Arial" w:hAnsi="Arial" w:cs="Arial"/>
            <w:sz w:val="20"/>
            <w:szCs w:val="20"/>
            <w:lang w:val="en-US"/>
          </w:rPr>
          <w:t>https://www.neuroscirn.org/tos/</w:t>
        </w:r>
      </w:hyperlink>
      <w:r w:rsidRPr="002878A3">
        <w:rPr>
          <w:rFonts w:ascii="Arial" w:hAnsi="Arial" w:cs="Arial"/>
          <w:sz w:val="20"/>
          <w:szCs w:val="20"/>
          <w:lang w:val="en-US"/>
        </w:rPr>
        <w:t>) adopted by Neuroscience Research Notes.</w:t>
      </w:r>
    </w:p>
    <w:p w14:paraId="65E14FD7" w14:textId="793BE7F4" w:rsidR="002878A3" w:rsidRPr="002878A3" w:rsidRDefault="002878A3" w:rsidP="00F6518B">
      <w:pPr>
        <w:pStyle w:val="ListParagraph"/>
        <w:numPr>
          <w:ilvl w:val="0"/>
          <w:numId w:val="2"/>
        </w:numPr>
        <w:ind w:left="360"/>
        <w:rPr>
          <w:rFonts w:ascii="Arial" w:hAnsi="Arial" w:cs="Arial"/>
          <w:sz w:val="20"/>
          <w:szCs w:val="20"/>
        </w:rPr>
      </w:pPr>
      <w:r w:rsidRPr="002878A3">
        <w:rPr>
          <w:rFonts w:ascii="Arial" w:hAnsi="Arial" w:cs="Arial"/>
          <w:sz w:val="20"/>
          <w:szCs w:val="20"/>
          <w:lang w:val="en-US"/>
        </w:rPr>
        <w:t>While Neuroscience Research Notes will publicize the special issue via all its official social networks online, the members of the special issue editorial team are strongly recommended to do the same through their professional networks in the field</w:t>
      </w:r>
      <w:r>
        <w:rPr>
          <w:rFonts w:ascii="Arial" w:hAnsi="Arial" w:cs="Arial"/>
          <w:sz w:val="20"/>
          <w:szCs w:val="20"/>
          <w:lang w:val="en-US"/>
        </w:rPr>
        <w:t xml:space="preserve"> to achieve the minimum article published per issue stated in the table above.</w:t>
      </w:r>
    </w:p>
    <w:p w14:paraId="6A92B13F" w14:textId="6F7AA9FE" w:rsidR="002878A3" w:rsidRPr="002878A3" w:rsidRDefault="002878A3" w:rsidP="00F6518B">
      <w:pPr>
        <w:pStyle w:val="ListParagraph"/>
        <w:numPr>
          <w:ilvl w:val="0"/>
          <w:numId w:val="2"/>
        </w:numPr>
        <w:ind w:left="360"/>
        <w:rPr>
          <w:rFonts w:ascii="Arial" w:hAnsi="Arial" w:cs="Arial"/>
          <w:sz w:val="20"/>
          <w:szCs w:val="20"/>
        </w:rPr>
      </w:pPr>
      <w:r>
        <w:rPr>
          <w:rFonts w:ascii="Arial" w:hAnsi="Arial" w:cs="Arial"/>
          <w:sz w:val="20"/>
          <w:szCs w:val="20"/>
          <w:lang w:val="en-US"/>
        </w:rPr>
        <w:t>The artwork of the electronic-cover for the special issue will be based on the regular issue designed for the year.</w:t>
      </w:r>
    </w:p>
    <w:p w14:paraId="365D66AE" w14:textId="77777777" w:rsidR="00DB6607" w:rsidRPr="00F6518B" w:rsidRDefault="00DB6607">
      <w:pPr>
        <w:rPr>
          <w:sz w:val="24"/>
          <w:szCs w:val="24"/>
        </w:rPr>
      </w:pPr>
    </w:p>
    <w:sectPr w:rsidR="00DB6607" w:rsidRPr="00F6518B" w:rsidSect="00517D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121"/>
    <w:multiLevelType w:val="hybridMultilevel"/>
    <w:tmpl w:val="BD70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C408E"/>
    <w:multiLevelType w:val="hybridMultilevel"/>
    <w:tmpl w:val="8D5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DAwMzcysDQxMDZQ0lEKTi0uzszPAykwrAUA550XxywAAAA="/>
  </w:docVars>
  <w:rsids>
    <w:rsidRoot w:val="002925A3"/>
    <w:rsid w:val="00084E06"/>
    <w:rsid w:val="00121C53"/>
    <w:rsid w:val="002878A3"/>
    <w:rsid w:val="002925A3"/>
    <w:rsid w:val="00352260"/>
    <w:rsid w:val="0066339B"/>
    <w:rsid w:val="0082374F"/>
    <w:rsid w:val="008B23C7"/>
    <w:rsid w:val="009C31C9"/>
    <w:rsid w:val="009F69ED"/>
    <w:rsid w:val="00A060F6"/>
    <w:rsid w:val="00DB6607"/>
    <w:rsid w:val="00F65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8CCC"/>
  <w15:docId w15:val="{7DB98490-7C18-4135-BC04-D954692C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60"/>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2260"/>
    <w:rPr>
      <w:color w:val="0563C1"/>
      <w:u w:val="single"/>
    </w:rPr>
  </w:style>
  <w:style w:type="paragraph" w:styleId="ListParagraph">
    <w:name w:val="List Paragraph"/>
    <w:basedOn w:val="Normal"/>
    <w:uiPriority w:val="34"/>
    <w:qFormat/>
    <w:rsid w:val="00352260"/>
    <w:pPr>
      <w:spacing w:after="200"/>
      <w:ind w:left="720"/>
      <w:contextualSpacing/>
    </w:pPr>
    <w:rPr>
      <w:rFonts w:asciiTheme="minorHAnsi" w:eastAsiaTheme="minorEastAsia" w:hAnsiTheme="minorHAnsi" w:cstheme="minorBidi"/>
      <w:color w:val="auto"/>
      <w:lang w:val="el-GR" w:eastAsia="el-GR"/>
    </w:rPr>
  </w:style>
  <w:style w:type="character" w:styleId="UnresolvedMention">
    <w:name w:val="Unresolved Mention"/>
    <w:basedOn w:val="DefaultParagraphFont"/>
    <w:uiPriority w:val="99"/>
    <w:semiHidden/>
    <w:unhideWhenUsed/>
    <w:rsid w:val="0028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euroscirn.org/t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uroscirn.org/auth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0BCB-5550-484B-9579-6BB8065A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Hindawi Publishing</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NeurosciRN</dc:creator>
  <cp:keywords/>
  <dc:description/>
  <cp:lastModifiedBy>micha</cp:lastModifiedBy>
  <cp:revision>6</cp:revision>
  <dcterms:created xsi:type="dcterms:W3CDTF">2018-07-14T04:00:00Z</dcterms:created>
  <dcterms:modified xsi:type="dcterms:W3CDTF">2020-02-25T04:56:00Z</dcterms:modified>
</cp:coreProperties>
</file>